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F" w:rsidRPr="00FE271D" w:rsidRDefault="00AB09CF" w:rsidP="00AB0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8" o:spid="_x0000_s1026" type="#_x0000_t202" style="position:absolute;margin-left:276.8pt;margin-top:-15.4pt;width:49.6pt;height:44.3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uEhwIAAAI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" stroked="f">
            <v:textbox inset="0,0,0,0">
              <w:txbxContent>
                <w:p w:rsidR="00AB09CF" w:rsidRDefault="00AB09CF" w:rsidP="00AB09CF">
                  <w:pPr>
                    <w:autoSpaceDE w:val="0"/>
                    <w:jc w:val="center"/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16255" cy="570230"/>
                        <wp:effectExtent l="0" t="0" r="0" b="1270"/>
                        <wp:docPr id="156" name="Рисунок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570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AB09CF" w:rsidRDefault="00AB09CF" w:rsidP="00AB09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9CF" w:rsidRPr="00FE271D" w:rsidRDefault="00AB09CF" w:rsidP="00AB09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9CF" w:rsidRPr="00FE271D" w:rsidRDefault="00AB09CF" w:rsidP="00AB09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Александро-Невского городского поселения </w:t>
      </w:r>
    </w:p>
    <w:p w:rsidR="00AB09CF" w:rsidRPr="00FE271D" w:rsidRDefault="00AB09CF" w:rsidP="00AB09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AB09CF" w:rsidRPr="00FE271D" w:rsidRDefault="00AB09CF" w:rsidP="00AB09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AB09CF" w:rsidRDefault="00AB09CF" w:rsidP="00AB09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09CF" w:rsidRPr="00FE271D" w:rsidRDefault="00AB09CF" w:rsidP="00AB09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09CF" w:rsidRDefault="00AB09CF" w:rsidP="00AB09C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  <w:t>ПОСТАНОВЛЕНИЕ</w:t>
      </w:r>
    </w:p>
    <w:p w:rsidR="00AB09CF" w:rsidRPr="001918BB" w:rsidRDefault="00AB09CF" w:rsidP="00AB09C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B09CF" w:rsidRPr="001918BB" w:rsidRDefault="00AB09CF" w:rsidP="00AB09C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89"/>
        <w:gridCol w:w="3440"/>
        <w:gridCol w:w="3191"/>
      </w:tblGrid>
      <w:tr w:rsidR="00AB09CF" w:rsidRPr="00FE271D" w:rsidTr="006F30F5">
        <w:tc>
          <w:tcPr>
            <w:tcW w:w="3189" w:type="dxa"/>
            <w:shd w:val="clear" w:color="auto" w:fill="auto"/>
          </w:tcPr>
          <w:p w:rsidR="00AB09CF" w:rsidRPr="00FE271D" w:rsidRDefault="00AB09CF" w:rsidP="006F30F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июля</w:t>
            </w: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                </w:t>
            </w:r>
          </w:p>
        </w:tc>
        <w:tc>
          <w:tcPr>
            <w:tcW w:w="3440" w:type="dxa"/>
            <w:shd w:val="clear" w:color="auto" w:fill="auto"/>
          </w:tcPr>
          <w:p w:rsidR="00AB09CF" w:rsidRPr="00FE271D" w:rsidRDefault="00AB09CF" w:rsidP="006F30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р.п. Александро-Невский</w:t>
            </w:r>
          </w:p>
        </w:tc>
        <w:tc>
          <w:tcPr>
            <w:tcW w:w="3191" w:type="dxa"/>
            <w:shd w:val="clear" w:color="auto" w:fill="auto"/>
          </w:tcPr>
          <w:p w:rsidR="00AB09CF" w:rsidRPr="00FE271D" w:rsidRDefault="00AB09CF" w:rsidP="006F30F5">
            <w:pPr>
              <w:suppressAutoHyphens/>
              <w:autoSpaceDE w:val="0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172</w:t>
            </w:r>
          </w:p>
        </w:tc>
      </w:tr>
    </w:tbl>
    <w:p w:rsidR="00AB09CF" w:rsidRPr="00FE271D" w:rsidRDefault="00AB09CF" w:rsidP="00AB0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9CF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9CF" w:rsidRPr="00FC7172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9CF" w:rsidRDefault="00AB09CF" w:rsidP="00AB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17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назначении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решения о внесени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территории </w:t>
      </w:r>
      <w:r w:rsidRPr="006F5A2D">
        <w:rPr>
          <w:rFonts w:ascii="Times New Roman" w:hAnsi="Times New Roman"/>
          <w:b/>
          <w:sz w:val="24"/>
          <w:szCs w:val="24"/>
        </w:rPr>
        <w:t>Александро-</w:t>
      </w:r>
      <w:r w:rsidRPr="009A0586">
        <w:rPr>
          <w:rFonts w:ascii="Times New Roman" w:hAnsi="Times New Roman"/>
          <w:b/>
          <w:sz w:val="24"/>
          <w:szCs w:val="24"/>
        </w:rPr>
        <w:t>Невск</w:t>
      </w:r>
      <w:r>
        <w:rPr>
          <w:rFonts w:ascii="Times New Roman" w:hAnsi="Times New Roman"/>
          <w:b/>
          <w:sz w:val="24"/>
          <w:szCs w:val="24"/>
        </w:rPr>
        <w:t>ого городского поселения Александро-Невского муниципального района Рязанской области</w:t>
      </w:r>
    </w:p>
    <w:p w:rsidR="00AB09CF" w:rsidRDefault="00AB09CF" w:rsidP="00AB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9CF" w:rsidRPr="00FC7172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CF" w:rsidRPr="002649A3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A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– Александро-Невское городское поселение Александро-Невского муниципального района Рязанской области, Положением о публичных слушаниях Александро-Невского городского поселения, утвержденных решением Совета депутатов Александро-Невского городского поселения  от  15.11.2005 года № 6, постановлением администрации «О подготовке проекта решения о внесении изменений в</w:t>
      </w:r>
      <w:proofErr w:type="gramEnd"/>
      <w:r w:rsidRPr="002649A3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hAnsi="Times New Roman" w:cs="Times New Roman"/>
          <w:sz w:val="24"/>
          <w:szCs w:val="24"/>
        </w:rPr>
        <w:t>», администрация Александро-Невского городского поселения ПОСТАНОВЛЯЕТ:</w:t>
      </w:r>
    </w:p>
    <w:p w:rsidR="00AB09CF" w:rsidRPr="00B33627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CF" w:rsidRPr="00FC7172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о внесении</w:t>
      </w:r>
      <w:r w:rsidRPr="00FC7172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Правила землепользования и застройки территории р.п.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на 11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21 августа 2017</w:t>
      </w:r>
      <w:r w:rsidRPr="00FC7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9CF" w:rsidRPr="00FC7172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поселения </w:t>
      </w:r>
      <w:r w:rsidRPr="00FC7172">
        <w:rPr>
          <w:rFonts w:ascii="Times New Roman" w:hAnsi="Times New Roman" w:cs="Times New Roman"/>
          <w:sz w:val="24"/>
          <w:szCs w:val="24"/>
        </w:rPr>
        <w:t xml:space="preserve">обеспечить проведение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FC7172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C717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B3362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color w:val="auto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части внесения изменений в градостроительные регламенты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территориальных зон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9CF" w:rsidRPr="008C021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AB09CF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AB09CF" w:rsidRPr="002649A3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</w:t>
      </w:r>
      <w:r w:rsidRPr="00916C58">
        <w:rPr>
          <w:rFonts w:ascii="Times New Roman" w:hAnsi="Times New Roman" w:cs="Times New Roman"/>
          <w:sz w:val="24"/>
          <w:szCs w:val="24"/>
        </w:rPr>
        <w:t>роект решения 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6C5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</w:t>
      </w:r>
      <w:r>
        <w:rPr>
          <w:rFonts w:ascii="Times New Roman" w:hAnsi="Times New Roman" w:cs="Times New Roman"/>
          <w:sz w:val="24"/>
          <w:szCs w:val="24"/>
        </w:rPr>
        <w:t xml:space="preserve">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AB09CF" w:rsidRPr="008C021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публичных слушаний создать комиссию в составе:</w:t>
      </w:r>
    </w:p>
    <w:p w:rsidR="00AB09CF" w:rsidRPr="008C021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Блохина Е.В. - глава Александро-Невского городского поселения</w:t>
      </w:r>
    </w:p>
    <w:p w:rsidR="00AB09CF" w:rsidRPr="008C021C" w:rsidRDefault="00AB09CF" w:rsidP="00AB09CF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Н.М.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ведущий специалист администрации;</w:t>
      </w:r>
    </w:p>
    <w:p w:rsidR="00AB09CF" w:rsidRPr="008C021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Андреева Л.С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специалист </w:t>
      </w:r>
      <w:r w:rsidRPr="008C0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AB09CF" w:rsidRPr="008C021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выступить с докладом на публичных слушаниях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Коноваловой Н.М.</w:t>
      </w:r>
    </w:p>
    <w:p w:rsidR="00AB09CF" w:rsidRPr="008C021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Дополнения, поправки, замечания по отчету направлять в администрацию городского поселения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р.п. Александро-Невский, ул. Советская, д. 44.</w:t>
      </w:r>
    </w:p>
    <w:p w:rsidR="00AB09CF" w:rsidRPr="00E12F9A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участия граждан в обсуждении проекта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sub_1000#sub_1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AB09CF" w:rsidRPr="00E12F9A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 по проекту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anchor="sub_2000#sub_2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AB09CF" w:rsidRPr="00FC7172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7172"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слушаний и опубликовать его в установленном порядке.</w:t>
      </w:r>
    </w:p>
    <w:p w:rsidR="00AB09CF" w:rsidRPr="00FC7172" w:rsidRDefault="00AB09CF" w:rsidP="00AB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C71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1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собой.</w:t>
      </w:r>
    </w:p>
    <w:p w:rsidR="00AB09CF" w:rsidRPr="00407505" w:rsidRDefault="00AB09CF" w:rsidP="00AB09C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9CF" w:rsidRPr="006E17A5" w:rsidRDefault="00AB09CF" w:rsidP="00AB09C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9CF" w:rsidRPr="006E17A5" w:rsidRDefault="00AB09CF" w:rsidP="00AB09C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9CF" w:rsidRPr="006E17A5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A5">
        <w:rPr>
          <w:rFonts w:ascii="Times New Roman" w:eastAsia="Times New Roman" w:hAnsi="Times New Roman" w:cs="Times New Roman"/>
          <w:sz w:val="24"/>
          <w:szCs w:val="24"/>
        </w:rPr>
        <w:t xml:space="preserve">Глава Александро-Невского </w:t>
      </w: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A5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6E17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Е.В. Блохина</w:t>
      </w: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Default="00AB09CF" w:rsidP="00AB0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9CF" w:rsidRPr="00160955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AB09CF" w:rsidRPr="00160955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AB09CF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24.07.2017</w:t>
      </w: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172</w:t>
      </w:r>
    </w:p>
    <w:p w:rsidR="00AB09CF" w:rsidRPr="00160955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9CF" w:rsidRDefault="00AB09CF" w:rsidP="00AB09CF">
      <w:pPr>
        <w:keepNext/>
        <w:keepLine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9CF" w:rsidRDefault="00AB09CF" w:rsidP="00AB09CF">
      <w:pPr>
        <w:keepNext/>
        <w:keepLine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D608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D608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Е К Т</w:t>
      </w:r>
    </w:p>
    <w:p w:rsidR="00AB09CF" w:rsidRPr="006D6087" w:rsidRDefault="00AB09CF" w:rsidP="00AB09CF">
      <w:pPr>
        <w:keepNext/>
        <w:keepLine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9CF" w:rsidRPr="006D6087" w:rsidRDefault="00AB09CF" w:rsidP="00AB09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 CYR" w:eastAsia="Times New Roman CYR" w:hAnsi="Times New Roman CYR" w:cs="Times New Roman CYR"/>
          <w:b/>
          <w:color w:val="auto"/>
          <w:sz w:val="20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18795" cy="571500"/>
            <wp:effectExtent l="19050" t="0" r="0" b="0"/>
            <wp:docPr id="1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CF" w:rsidRPr="006D6087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AB09CF" w:rsidRPr="006D6087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AB09CF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AB09CF" w:rsidRPr="006D6087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Pr="006D6087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AB09CF" w:rsidRDefault="00AB09CF" w:rsidP="00AB09CF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Совет депутатов городского поселения</w:t>
      </w:r>
    </w:p>
    <w:p w:rsidR="00AB09CF" w:rsidRPr="006D6087" w:rsidRDefault="00AB09CF" w:rsidP="00AB09CF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</w:p>
    <w:p w:rsidR="00AB09CF" w:rsidRPr="006D6087" w:rsidRDefault="00AB09CF" w:rsidP="00AB09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</w:pPr>
      <w:proofErr w:type="gramStart"/>
      <w:r w:rsidRPr="006D6087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6D6087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AB09CF" w:rsidRPr="006D6087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Pr="006D6087" w:rsidRDefault="00AB09CF" w:rsidP="00AB09C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AB09CF" w:rsidRPr="006D6087" w:rsidRDefault="00AB09CF" w:rsidP="00AB09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509"/>
      </w:tblGrid>
      <w:tr w:rsidR="00AB09CF" w:rsidRPr="006D6087" w:rsidTr="006F30F5">
        <w:tc>
          <w:tcPr>
            <w:tcW w:w="3190" w:type="dxa"/>
            <w:shd w:val="clear" w:color="auto" w:fill="auto"/>
          </w:tcPr>
          <w:p w:rsidR="00AB09CF" w:rsidRPr="006D6087" w:rsidRDefault="00AB09CF" w:rsidP="006F30F5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</w:t>
            </w:r>
            <w:r w:rsidRPr="006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AB09CF" w:rsidRPr="006D6087" w:rsidRDefault="00AB09CF" w:rsidP="006F30F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 w:rsidRPr="006D6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AB09CF" w:rsidRPr="006D6087" w:rsidRDefault="00AB09CF" w:rsidP="006F30F5">
            <w:pPr>
              <w:keepNext/>
              <w:keepLines/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____</w:t>
            </w:r>
          </w:p>
        </w:tc>
      </w:tr>
    </w:tbl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AB09CF" w:rsidRDefault="00AB09CF" w:rsidP="00AB09CF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zh-CN"/>
        </w:rPr>
      </w:pPr>
    </w:p>
    <w:p w:rsidR="00AB09CF" w:rsidRPr="003B5DA7" w:rsidRDefault="00AB09CF" w:rsidP="00AB09CF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5DA7">
        <w:rPr>
          <w:rFonts w:ascii="Times New Roman" w:eastAsia="Times New Roman" w:hAnsi="Times New Roman" w:cs="Times New Roman"/>
          <w:b/>
          <w:color w:val="auto"/>
          <w:sz w:val="24"/>
          <w:lang w:eastAsia="zh-CN"/>
        </w:rPr>
        <w:t xml:space="preserve">О внесении изменений в Правила 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B622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утвержденные решением Совета депутатов Александро-Невского городского поселения от 22.03.2017 года  № 149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(в ред. от 30.05.2017 г.  № 132)</w:t>
      </w:r>
    </w:p>
    <w:p w:rsidR="00AB09CF" w:rsidRDefault="00AB09CF" w:rsidP="00AB09CF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09CF" w:rsidRDefault="00AB09CF" w:rsidP="00AB09CF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09CF" w:rsidRDefault="00AB09CF" w:rsidP="00AB09CF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 от 24 декабря 2004 года № 190-ФЗ,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– Александро-Невское городское поселение, Совет депутатов Александро-Невского городского поселения РЕШИЛ</w:t>
      </w:r>
      <w:r w:rsidRPr="006D6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AB09CF" w:rsidRDefault="00AB09CF" w:rsidP="00AB09CF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B09CF" w:rsidRDefault="00AB09CF" w:rsidP="00AB09CF">
      <w:pPr>
        <w:pStyle w:val="a3"/>
        <w:keepNext/>
        <w:keepLines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 w:rsidRPr="003B5DA7">
        <w:rPr>
          <w:rFonts w:eastAsia="Calibri"/>
          <w:color w:val="000000"/>
        </w:rPr>
        <w:t xml:space="preserve">Внести в Правила землепользования и застройки </w:t>
      </w:r>
      <w:r w:rsidRPr="002649A3">
        <w:t>Александро-Невского городского поселения Александро-Невского муниципального района Рязанской области</w:t>
      </w:r>
      <w:r w:rsidRPr="003B5DA7">
        <w:rPr>
          <w:rFonts w:eastAsia="Calibri"/>
          <w:color w:val="000000"/>
        </w:rPr>
        <w:t xml:space="preserve">, утверждённые решением Совета депутатов Александро-Невского городского поселения от 22.03.2017 года  № 149 </w:t>
      </w:r>
      <w:r>
        <w:rPr>
          <w:rFonts w:eastAsia="Calibri"/>
          <w:color w:val="000000"/>
        </w:rPr>
        <w:t xml:space="preserve">(в ред. от 30.05.2017 г.  № 132) </w:t>
      </w:r>
      <w:r w:rsidRPr="003B5DA7">
        <w:rPr>
          <w:rFonts w:eastAsia="Calibri"/>
          <w:iCs/>
          <w:color w:val="000000"/>
        </w:rPr>
        <w:t>следующие изменения:</w:t>
      </w:r>
    </w:p>
    <w:p w:rsidR="00AB09CF" w:rsidRPr="003B5DA7" w:rsidRDefault="00AB09CF" w:rsidP="00AB09CF">
      <w:pPr>
        <w:pStyle w:val="a3"/>
        <w:keepNext/>
        <w:keepLines/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</w:p>
    <w:p w:rsidR="00AB09CF" w:rsidRDefault="00AB09CF" w:rsidP="00AB09CF">
      <w:pPr>
        <w:pStyle w:val="a3"/>
        <w:keepNext/>
        <w:keepLines/>
        <w:numPr>
          <w:ilvl w:val="1"/>
          <w:numId w:val="4"/>
        </w:numPr>
        <w:ind w:left="0" w:firstLine="709"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>В п</w:t>
      </w:r>
      <w:r w:rsidRPr="00A844E8">
        <w:rPr>
          <w:color w:val="auto"/>
          <w:lang w:eastAsia="zh-CN"/>
        </w:rPr>
        <w:t xml:space="preserve">. </w:t>
      </w:r>
      <w:r>
        <w:rPr>
          <w:color w:val="auto"/>
          <w:lang w:eastAsia="zh-CN"/>
        </w:rPr>
        <w:t>1</w:t>
      </w:r>
      <w:r w:rsidRPr="00A844E8">
        <w:rPr>
          <w:color w:val="auto"/>
          <w:lang w:eastAsia="zh-CN"/>
        </w:rPr>
        <w:t xml:space="preserve">.1. ч. </w:t>
      </w:r>
      <w:r>
        <w:rPr>
          <w:color w:val="auto"/>
          <w:lang w:eastAsia="zh-CN"/>
        </w:rPr>
        <w:t>1</w:t>
      </w:r>
      <w:r w:rsidRPr="00A844E8">
        <w:rPr>
          <w:color w:val="auto"/>
          <w:lang w:eastAsia="zh-CN"/>
        </w:rPr>
        <w:t xml:space="preserve"> ст. 28 </w:t>
      </w:r>
      <w:r>
        <w:t xml:space="preserve">таблицу </w:t>
      </w:r>
      <w:r w:rsidRPr="00A844E8">
        <w:t xml:space="preserve"> </w:t>
      </w:r>
      <w:r>
        <w:t xml:space="preserve">«1.1 Ж-1 Зона застройки индивидуальными жилыми домами» </w:t>
      </w:r>
      <w:r w:rsidRPr="00A844E8">
        <w:rPr>
          <w:color w:val="auto"/>
          <w:lang w:eastAsia="zh-CN"/>
        </w:rPr>
        <w:t>изложить в следующей редакции:</w:t>
      </w:r>
    </w:p>
    <w:p w:rsidR="00AB09CF" w:rsidRDefault="00AB09CF" w:rsidP="00AB09CF">
      <w:pPr>
        <w:pStyle w:val="a3"/>
        <w:keepNext/>
        <w:keepLines/>
        <w:ind w:left="1849"/>
        <w:jc w:val="both"/>
        <w:rPr>
          <w:color w:val="auto"/>
          <w:lang w:eastAsia="zh-CN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2127"/>
        <w:gridCol w:w="4553"/>
        <w:gridCol w:w="2374"/>
      </w:tblGrid>
      <w:tr w:rsidR="00AB09CF" w:rsidRPr="006750D9" w:rsidTr="006F30F5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B09CF" w:rsidRPr="006750D9" w:rsidRDefault="00AB09CF" w:rsidP="006F30F5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</w:t>
            </w:r>
          </w:p>
        </w:tc>
        <w:tc>
          <w:tcPr>
            <w:tcW w:w="212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B09CF" w:rsidRPr="006750D9" w:rsidTr="006F30F5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Ж-1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 xml:space="preserve">Основные виды разрешенного </w:t>
            </w:r>
            <w:r w:rsidRPr="006750D9">
              <w:rPr>
                <w:rFonts w:hAnsi="Times New Roman"/>
                <w:lang w:eastAsia="en-US"/>
              </w:rPr>
              <w:lastRenderedPageBreak/>
              <w:t>использования</w:t>
            </w: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bookmarkStart w:id="0" w:name="sub_1021"/>
            <w:bookmarkEnd w:id="0"/>
            <w:r w:rsidRPr="006750D9">
              <w:rPr>
                <w:rFonts w:hAnsi="Times New Roman"/>
                <w:lang w:eastAsia="en-US"/>
              </w:rPr>
              <w:lastRenderedPageBreak/>
              <w:t xml:space="preserve">Малоэтажная жилая застройка (индивидуальное жилищное </w:t>
            </w:r>
            <w:r w:rsidRPr="006750D9">
              <w:rPr>
                <w:rFonts w:hAnsi="Times New Roman"/>
                <w:lang w:eastAsia="en-US"/>
              </w:rPr>
              <w:lastRenderedPageBreak/>
              <w:t>строительство;</w:t>
            </w:r>
          </w:p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размещение дачных домов и садовых домов)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lastRenderedPageBreak/>
              <w:t>2.1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bookmarkStart w:id="1" w:name="sub_1022"/>
            <w:bookmarkEnd w:id="1"/>
            <w:r w:rsidRPr="006750D9">
              <w:rPr>
                <w:rFonts w:hAnsi="Times New Roman"/>
                <w:lang w:eastAsia="en-US"/>
              </w:rPr>
              <w:t>Приусадебный участок личного подсобного хозяйства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2.2</w:t>
            </w:r>
          </w:p>
        </w:tc>
      </w:tr>
      <w:tr w:rsidR="00AB09CF" w:rsidRPr="006750D9" w:rsidTr="006F30F5">
        <w:trPr>
          <w:trHeight w:val="333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bookmarkStart w:id="2" w:name="sub_1023"/>
            <w:bookmarkEnd w:id="2"/>
            <w:r w:rsidRPr="006750D9">
              <w:rPr>
                <w:rFonts w:hAnsi="Times New Roman"/>
                <w:lang w:eastAsia="en-US"/>
              </w:rPr>
              <w:t>Блокированная жилая застройка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2.3</w:t>
            </w:r>
          </w:p>
        </w:tc>
      </w:tr>
      <w:tr w:rsidR="00AB09CF" w:rsidRPr="006750D9" w:rsidTr="006F30F5">
        <w:trPr>
          <w:trHeight w:val="281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bookmarkStart w:id="3" w:name="sub_1027"/>
            <w:bookmarkEnd w:id="3"/>
            <w:r w:rsidRPr="006750D9">
              <w:rPr>
                <w:rFonts w:hAnsi="Times New Roman"/>
                <w:lang w:eastAsia="en-US"/>
              </w:rPr>
              <w:t>Обслуживание жилой застройки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2.7</w:t>
            </w:r>
          </w:p>
        </w:tc>
      </w:tr>
      <w:tr w:rsidR="00AB09CF" w:rsidRPr="006750D9" w:rsidTr="006F30F5">
        <w:trPr>
          <w:trHeight w:val="281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  <w:lang w:eastAsia="en-US"/>
              </w:rPr>
            </w:pPr>
            <w:r w:rsidRPr="006750D9">
              <w:t>Объекты</w:t>
            </w:r>
            <w:r w:rsidRPr="006750D9">
              <w:t xml:space="preserve"> </w:t>
            </w:r>
            <w:r w:rsidRPr="006750D9">
              <w:t>гаражного</w:t>
            </w:r>
            <w:r w:rsidRPr="006750D9">
              <w:t xml:space="preserve"> </w:t>
            </w:r>
            <w:r w:rsidRPr="006750D9">
              <w:t>назначения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  <w:lang w:eastAsia="en-US"/>
              </w:rPr>
            </w:pPr>
            <w:r w:rsidRPr="006750D9">
              <w:rPr>
                <w:rFonts w:hAnsi="Times New Roman"/>
                <w:lang w:eastAsia="en-US"/>
              </w:rPr>
              <w:t>2.7.1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r w:rsidRPr="006750D9">
              <w:t>Историко</w:t>
            </w:r>
            <w:r w:rsidRPr="006750D9">
              <w:t>-</w:t>
            </w:r>
            <w:r w:rsidRPr="006750D9">
              <w:t>культурная</w:t>
            </w:r>
            <w:r w:rsidRPr="006750D9">
              <w:t xml:space="preserve"> </w:t>
            </w:r>
            <w:r w:rsidRPr="006750D9">
              <w:t>деятельность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9.3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Вспомогательные виды разрешенного использования</w:t>
            </w: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r w:rsidRPr="006750D9">
              <w:rPr>
                <w:rFonts w:hAnsi="Times New Roman"/>
                <w:color w:val="00000A"/>
                <w:lang w:eastAsia="en-US"/>
              </w:rPr>
              <w:t>Коммунальное обслуживание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r w:rsidRPr="006750D9">
              <w:rPr>
                <w:rFonts w:hAnsi="Times New Roman"/>
                <w:color w:val="00000A"/>
                <w:lang w:eastAsia="en-US"/>
              </w:rPr>
              <w:t>Социальное обслуживание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Бытовое обслуживание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3.3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B09CF" w:rsidRPr="006750D9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left"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Обслуживание автотранспорта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4.9</w:t>
            </w:r>
          </w:p>
        </w:tc>
      </w:tr>
      <w:tr w:rsidR="00AB09CF" w:rsidRPr="006750D9" w:rsidTr="006F30F5">
        <w:trPr>
          <w:trHeight w:val="254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jc w:val="center"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Условно разрешенные виды разрешенного использования</w:t>
            </w: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3.4</w:t>
            </w:r>
          </w:p>
        </w:tc>
      </w:tr>
      <w:tr w:rsidR="00AB09CF" w:rsidRPr="006750D9" w:rsidTr="006F30F5">
        <w:trPr>
          <w:trHeight w:val="244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3.5</w:t>
            </w:r>
          </w:p>
        </w:tc>
      </w:tr>
      <w:tr w:rsidR="00AB09CF" w:rsidRPr="006750D9" w:rsidTr="006F30F5">
        <w:trPr>
          <w:trHeight w:val="248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3.7</w:t>
            </w:r>
          </w:p>
        </w:tc>
      </w:tr>
      <w:tr w:rsidR="00AB09CF" w:rsidRPr="006750D9" w:rsidTr="006F30F5">
        <w:trPr>
          <w:trHeight w:val="238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 xml:space="preserve">Деловое управление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4.1</w:t>
            </w:r>
          </w:p>
        </w:tc>
      </w:tr>
      <w:tr w:rsidR="00AB09CF" w:rsidRPr="006750D9" w:rsidTr="006F30F5">
        <w:trPr>
          <w:trHeight w:val="256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AB09CF" w:rsidRPr="006750D9" w:rsidTr="006F30F5">
        <w:trPr>
          <w:trHeight w:val="245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4.6</w:t>
            </w:r>
          </w:p>
        </w:tc>
      </w:tr>
      <w:tr w:rsidR="00AB09CF" w:rsidRPr="006750D9" w:rsidTr="006F30F5">
        <w:trPr>
          <w:trHeight w:val="236"/>
        </w:trPr>
        <w:tc>
          <w:tcPr>
            <w:tcW w:w="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cdeef0ece0ebfcedfbe9f2e0e1ebe8f6e0"/>
              <w:keepNext/>
              <w:keepLines/>
              <w:widowControl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6750D9" w:rsidRDefault="00AB09CF" w:rsidP="006F30F5">
            <w:pPr>
              <w:pStyle w:val="d6e5edf2f0e8f0eee2e0ededfbe9f2e0e1ebe8f6e0"/>
              <w:keepNext/>
              <w:keepLines/>
              <w:widowControl/>
              <w:rPr>
                <w:rFonts w:hAnsi="Times New Roman"/>
              </w:rPr>
            </w:pPr>
            <w:r w:rsidRPr="006750D9">
              <w:rPr>
                <w:rFonts w:hAnsi="Times New Roman"/>
                <w:lang w:eastAsia="en-US"/>
              </w:rPr>
              <w:t>5.1</w:t>
            </w:r>
          </w:p>
        </w:tc>
      </w:tr>
    </w:tbl>
    <w:p w:rsidR="00AB09CF" w:rsidRDefault="00AB09CF" w:rsidP="00AB09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CF" w:rsidRPr="008270BD" w:rsidRDefault="00AB09CF" w:rsidP="00AB09CF">
      <w:pPr>
        <w:pStyle w:val="a3"/>
        <w:keepNext/>
        <w:keepLines/>
        <w:numPr>
          <w:ilvl w:val="1"/>
          <w:numId w:val="3"/>
        </w:numPr>
        <w:ind w:left="0" w:firstLine="709"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 xml:space="preserve"> </w:t>
      </w:r>
      <w:r w:rsidRPr="008270BD">
        <w:rPr>
          <w:color w:val="auto"/>
          <w:lang w:eastAsia="zh-CN"/>
        </w:rPr>
        <w:t xml:space="preserve">В п. 1.1. ч. 1 ст. 28 </w:t>
      </w:r>
      <w:r>
        <w:t xml:space="preserve">таблицу </w:t>
      </w:r>
      <w:r w:rsidRPr="00A844E8">
        <w:t xml:space="preserve"> </w:t>
      </w:r>
      <w:r>
        <w:t>«</w:t>
      </w:r>
      <w:r w:rsidRPr="00A844E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8270BD">
        <w:rPr>
          <w:color w:val="auto"/>
          <w:lang w:eastAsia="zh-CN"/>
        </w:rPr>
        <w:t xml:space="preserve"> изложить в следующей редакции:</w:t>
      </w:r>
    </w:p>
    <w:p w:rsidR="00AB09CF" w:rsidRDefault="00AB09CF" w:rsidP="00AB09CF">
      <w:pPr>
        <w:pStyle w:val="a3"/>
        <w:keepNext/>
        <w:keepLines/>
        <w:ind w:left="709"/>
        <w:jc w:val="both"/>
        <w:rPr>
          <w:color w:val="auto"/>
          <w:lang w:eastAsia="zh-CN"/>
        </w:rPr>
      </w:pPr>
    </w:p>
    <w:tbl>
      <w:tblPr>
        <w:tblStyle w:val="a4"/>
        <w:tblW w:w="10172" w:type="dxa"/>
        <w:tblInd w:w="-318" w:type="dxa"/>
        <w:tblLook w:val="04A0"/>
      </w:tblPr>
      <w:tblGrid>
        <w:gridCol w:w="4962"/>
        <w:gridCol w:w="2057"/>
        <w:gridCol w:w="3153"/>
      </w:tblGrid>
      <w:tr w:rsidR="00AB09CF" w:rsidTr="006F30F5">
        <w:tc>
          <w:tcPr>
            <w:tcW w:w="4962" w:type="dxa"/>
          </w:tcPr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AB09CF" w:rsidRPr="00BD6D48" w:rsidRDefault="00AB09CF" w:rsidP="006F3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минимальный размер земельных участков для индивидуального жилищного строительства, ширина участков вдоль фронта улицы - 20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максимальный размер земельных участков для индивидуального жилищного строительства - не подлежит установлению;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индивидуального жилищного строительства - 600 кв.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максимальная площадь земельных участков для индивидуального жилищного строительства - 1200 кв. м.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минимальный размер земельных участков для ведения личного подсобного хозяйства, ширина участков вдоль фронта улицы - 20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максимальный размер земельных участков для ведения личного подсобного хозяйств - не подлежит установлению;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ведения личного подсобного хозяйства - 600 кв.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предельная максимальная площадь земельных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участков для ведения личного подсобного хозяйства - 1200 кв. м.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минимальный размер земельных участков для блокированной жилой застройки, ширина участков вдоль фронта улицы - 20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максимальный размер земельных участков для блокированной жилой застройки - не подлежит установлению;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блокированной жилой застройки - 300 кв.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максимальная площадь земельных участков для блокированной жилой застройки - 1200 кв. м.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минимальный размер земельных участков для объектов гаражного назначения - не подлежит установлению;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максимальный размер земельных участков для объектов гаражного назначения - не подлежит установлению;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объектов гаражного назначения - 30 кв. м;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максимальная площадь земельных участков для объектов гаражного назначения - 200 кв. м.</w:t>
            </w:r>
          </w:p>
          <w:p w:rsidR="00AB09CF" w:rsidRPr="00BD6D48" w:rsidRDefault="00AB09CF" w:rsidP="006F30F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редельные минимальные и максимальные размеры земельных участков, в том числе их площадь, для иных видов разреше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нного использования - не подлежа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 установлению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B09CF" w:rsidTr="006F30F5">
        <w:tc>
          <w:tcPr>
            <w:tcW w:w="4962" w:type="dxa"/>
          </w:tcPr>
          <w:p w:rsidR="00AB09CF" w:rsidRPr="00BD6D48" w:rsidRDefault="00AB09CF" w:rsidP="006F3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AB09CF" w:rsidRPr="00BD6D48" w:rsidRDefault="00AB09CF" w:rsidP="006F30F5">
            <w:pPr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CF" w:rsidRPr="00BD6D48" w:rsidRDefault="00AB09CF" w:rsidP="006F30F5">
            <w:pPr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B09CF" w:rsidRDefault="00AB09CF" w:rsidP="006F30F5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 основного и условно разрешенного видов использования </w:t>
            </w:r>
          </w:p>
        </w:tc>
      </w:tr>
      <w:tr w:rsidR="00AB09CF" w:rsidTr="006F30F5">
        <w:tc>
          <w:tcPr>
            <w:tcW w:w="4962" w:type="dxa"/>
          </w:tcPr>
          <w:p w:rsidR="00AB09CF" w:rsidRPr="00BD6D48" w:rsidRDefault="00AB09CF" w:rsidP="006F3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AB09CF" w:rsidRPr="00BD6D48" w:rsidRDefault="00AB09CF" w:rsidP="006F30F5">
            <w:pPr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3  этажа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B09CF" w:rsidRDefault="00AB09CF" w:rsidP="006F30F5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 основного и условно разрешенного видов использования</w:t>
            </w:r>
          </w:p>
        </w:tc>
      </w:tr>
      <w:tr w:rsidR="00AB09CF" w:rsidTr="006F30F5">
        <w:trPr>
          <w:trHeight w:val="263"/>
        </w:trPr>
        <w:tc>
          <w:tcPr>
            <w:tcW w:w="4962" w:type="dxa"/>
            <w:vMerge w:val="restart"/>
          </w:tcPr>
          <w:p w:rsidR="00AB09CF" w:rsidRPr="00BD6D48" w:rsidRDefault="00AB09CF" w:rsidP="006F3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</w:tcPr>
          <w:p w:rsidR="00AB09CF" w:rsidRPr="00BD6D48" w:rsidRDefault="00AB09CF" w:rsidP="006F30F5">
            <w:pPr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</w:tcBorders>
          </w:tcPr>
          <w:p w:rsidR="00AB09CF" w:rsidRDefault="00AB09CF" w:rsidP="006F30F5">
            <w:pPr>
              <w:pStyle w:val="ConsPlusNormal"/>
              <w:widowControl/>
              <w:tabs>
                <w:tab w:val="left" w:pos="-142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домов</w:t>
            </w:r>
          </w:p>
        </w:tc>
      </w:tr>
      <w:tr w:rsidR="00AB09CF" w:rsidTr="006F30F5">
        <w:trPr>
          <w:trHeight w:val="384"/>
        </w:trPr>
        <w:tc>
          <w:tcPr>
            <w:tcW w:w="4962" w:type="dxa"/>
            <w:vMerge/>
          </w:tcPr>
          <w:p w:rsidR="00AB09CF" w:rsidRPr="00BD6D48" w:rsidRDefault="00AB09CF" w:rsidP="006F3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</w:tcPr>
          <w:p w:rsidR="00AB09CF" w:rsidRDefault="00AB09CF" w:rsidP="006F30F5">
            <w:pPr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</w:tcPr>
          <w:p w:rsidR="00AB09CF" w:rsidRDefault="00AB09CF" w:rsidP="006F30F5">
            <w:pPr>
              <w:pStyle w:val="ConsPlusNormal"/>
              <w:widowControl/>
              <w:tabs>
                <w:tab w:val="left" w:pos="-142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обслуживания </w:t>
            </w:r>
          </w:p>
        </w:tc>
      </w:tr>
      <w:tr w:rsidR="00AB09CF" w:rsidTr="006F30F5">
        <w:tc>
          <w:tcPr>
            <w:tcW w:w="10172" w:type="dxa"/>
            <w:gridSpan w:val="3"/>
          </w:tcPr>
          <w:p w:rsidR="00AB09CF" w:rsidRPr="00BD6D48" w:rsidRDefault="00AB09CF" w:rsidP="006F3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Расстояния по горизонтали (в свету) от зданий, строений и сооружений до ближайших подземных инженерных сетей следует принимать по СП 42.13330.2011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9CF" w:rsidRPr="00BD6D48" w:rsidRDefault="00AB09CF" w:rsidP="006F30F5">
            <w:pPr>
              <w:keepNext/>
              <w:keepLines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8">
              <w:rPr>
                <w:rFonts w:ascii="Times New Roman" w:hAnsi="Times New Roman" w:cs="Times New Roman"/>
                <w:sz w:val="24"/>
                <w:szCs w:val="24"/>
              </w:rPr>
              <w:t>Противопожарное минимальное расстояние между жилыми домами следует принимать в зависимости от материалов, из которых построены дома, в соответствии с требованиями Федерального закона от 22 июля 2008 г.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09CF" w:rsidRDefault="00AB09CF" w:rsidP="00AB09CF">
      <w:pPr>
        <w:pStyle w:val="a3"/>
        <w:keepNext/>
        <w:keepLines/>
        <w:ind w:left="709"/>
        <w:jc w:val="both"/>
        <w:rPr>
          <w:color w:val="auto"/>
          <w:lang w:eastAsia="zh-CN"/>
        </w:rPr>
      </w:pPr>
    </w:p>
    <w:p w:rsidR="00AB09CF" w:rsidRPr="00F63278" w:rsidRDefault="00AB09CF" w:rsidP="00AB09C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78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п. 1.2. ч. 1 ст. 28 </w:t>
      </w:r>
      <w:r w:rsidRPr="00F63278">
        <w:rPr>
          <w:rFonts w:ascii="Times New Roman" w:hAnsi="Times New Roman" w:cs="Times New Roman"/>
          <w:sz w:val="24"/>
          <w:szCs w:val="24"/>
        </w:rPr>
        <w:t xml:space="preserve">таблицу  «1.2 Ж-2. Зона застройки малоэтажными жилыми домами» </w:t>
      </w:r>
      <w:r w:rsidRPr="00F63278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изложить в следующей редакции:</w:t>
      </w:r>
    </w:p>
    <w:p w:rsidR="00AB09CF" w:rsidRDefault="00AB09CF" w:rsidP="00AB09CF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1956"/>
        <w:gridCol w:w="4724"/>
        <w:gridCol w:w="2372"/>
      </w:tblGrid>
      <w:tr w:rsidR="00AB09CF" w:rsidRPr="002E39DF" w:rsidTr="006F30F5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Код</w:t>
            </w:r>
          </w:p>
          <w:p w:rsidR="00AB09CF" w:rsidRPr="002E39DF" w:rsidRDefault="00AB09CF" w:rsidP="006F30F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  <w:lang w:eastAsia="en-US"/>
              </w:rPr>
              <w:t>зоны</w:t>
            </w:r>
          </w:p>
        </w:tc>
        <w:tc>
          <w:tcPr>
            <w:tcW w:w="195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B09CF" w:rsidRPr="002E39DF" w:rsidTr="006F30F5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  <w:lang w:eastAsia="en-US"/>
              </w:rPr>
              <w:t>Ж-2</w:t>
            </w: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center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Малоэтажная жилая застройка (индивидуальное жилищное строительство;</w:t>
            </w:r>
          </w:p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размещение дачных домов и садовых домов)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2.1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Приусадебный участок личного подсобного хозяйства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2.2</w:t>
            </w:r>
          </w:p>
        </w:tc>
      </w:tr>
      <w:tr w:rsidR="00AB09CF" w:rsidRPr="002E39DF" w:rsidTr="006F30F5">
        <w:trPr>
          <w:trHeight w:val="333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Блокированная жилая застройка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2.3</w:t>
            </w:r>
          </w:p>
        </w:tc>
      </w:tr>
      <w:tr w:rsidR="00AB09CF" w:rsidRPr="002E39DF" w:rsidTr="006F30F5">
        <w:trPr>
          <w:trHeight w:val="333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proofErr w:type="spellStart"/>
            <w:r w:rsidRPr="002E39DF">
              <w:rPr>
                <w:rFonts w:hAnsi="Times New Roman"/>
              </w:rPr>
              <w:t>Среднеэтажная</w:t>
            </w:r>
            <w:proofErr w:type="spellEnd"/>
            <w:r w:rsidRPr="002E39DF">
              <w:rPr>
                <w:rFonts w:hAnsi="Times New Roman"/>
              </w:rPr>
              <w:t xml:space="preserve"> жилая застройка</w:t>
            </w:r>
            <w:r w:rsidRPr="002E39DF">
              <w:rPr>
                <w:rFonts w:hAnsi="Times New Roman"/>
              </w:rPr>
              <w:tab/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</w:rPr>
              <w:t>2.5</w:t>
            </w:r>
          </w:p>
        </w:tc>
      </w:tr>
      <w:tr w:rsidR="00AB09CF" w:rsidRPr="002E39DF" w:rsidTr="006F30F5">
        <w:trPr>
          <w:trHeight w:val="281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Обслуживание жилой застройки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2.7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</w:rPr>
              <w:t>Историко-культурная деятельность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9.3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color w:val="00000A"/>
                <w:lang w:eastAsia="en-US"/>
              </w:rPr>
              <w:t>Коммунальное обслуживание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center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Вспомогательные виды разрешенного использования</w:t>
            </w: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color w:val="00000A"/>
                <w:lang w:eastAsia="en-US"/>
              </w:rPr>
              <w:t>Социальное обслуживание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Бытовое обслуживание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3.3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B09CF" w:rsidRPr="002E39DF" w:rsidTr="006F30F5"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left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Обслуживание автотранспорта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4.9</w:t>
            </w:r>
          </w:p>
        </w:tc>
      </w:tr>
      <w:tr w:rsidR="00AB09CF" w:rsidRPr="002E39DF" w:rsidTr="006F30F5">
        <w:trPr>
          <w:trHeight w:val="254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jc w:val="center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Условно разрешенные виды разрешенного использования</w:t>
            </w: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</w:rPr>
              <w:t>Здравоохранение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3.4</w:t>
            </w:r>
          </w:p>
        </w:tc>
      </w:tr>
      <w:tr w:rsidR="00AB09CF" w:rsidRPr="002E39DF" w:rsidTr="006F30F5">
        <w:trPr>
          <w:trHeight w:val="244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</w:rPr>
              <w:t>Образование и просвещение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3.5</w:t>
            </w:r>
          </w:p>
        </w:tc>
      </w:tr>
      <w:tr w:rsidR="00AB09CF" w:rsidRPr="002E39DF" w:rsidTr="006F30F5">
        <w:trPr>
          <w:trHeight w:val="248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</w:rPr>
              <w:t>Религиозное использование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3.7</w:t>
            </w:r>
          </w:p>
        </w:tc>
      </w:tr>
      <w:tr w:rsidR="00AB09CF" w:rsidRPr="002E39DF" w:rsidTr="006F30F5">
        <w:trPr>
          <w:trHeight w:val="238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</w:rPr>
              <w:t xml:space="preserve">Деловое управление 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4.1</w:t>
            </w:r>
          </w:p>
        </w:tc>
      </w:tr>
      <w:tr w:rsidR="00AB09CF" w:rsidRPr="002E39DF" w:rsidTr="006F30F5">
        <w:trPr>
          <w:trHeight w:val="256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AB09CF" w:rsidRPr="002E39DF" w:rsidTr="006F30F5">
        <w:trPr>
          <w:trHeight w:val="245"/>
        </w:trPr>
        <w:tc>
          <w:tcPr>
            <w:tcW w:w="97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</w:rPr>
              <w:t>Общественное питание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4.6</w:t>
            </w:r>
          </w:p>
        </w:tc>
      </w:tr>
      <w:tr w:rsidR="00AB09CF" w:rsidRPr="002E39DF" w:rsidTr="006F30F5">
        <w:trPr>
          <w:trHeight w:val="236"/>
        </w:trPr>
        <w:tc>
          <w:tcPr>
            <w:tcW w:w="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cdeef0ece0ebfcedfbe9f2e0e1ebe8f6e0"/>
              <w:spacing w:after="0" w:line="240" w:lineRule="auto"/>
              <w:rPr>
                <w:rFonts w:hAnsi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B09CF" w:rsidRPr="002E39DF" w:rsidRDefault="00AB09CF" w:rsidP="006F30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9DF">
              <w:rPr>
                <w:rFonts w:ascii="Times New Roman" w:hAnsi="Times New Roman" w:cs="Times New Roman"/>
                <w:szCs w:val="24"/>
              </w:rPr>
              <w:t>Спорт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B09CF" w:rsidRPr="002E39DF" w:rsidRDefault="00AB09CF" w:rsidP="006F30F5">
            <w:pPr>
              <w:pStyle w:val="d6e5edf2f0e8f0eee2e0ededfbe9f2e0e1ebe8f6e0"/>
              <w:rPr>
                <w:rFonts w:hAnsi="Times New Roman"/>
              </w:rPr>
            </w:pPr>
            <w:r w:rsidRPr="002E39DF">
              <w:rPr>
                <w:rFonts w:hAnsi="Times New Roman"/>
                <w:lang w:eastAsia="en-US"/>
              </w:rPr>
              <w:t>5.1</w:t>
            </w:r>
          </w:p>
        </w:tc>
      </w:tr>
    </w:tbl>
    <w:p w:rsidR="00AB09CF" w:rsidRPr="00F8696F" w:rsidRDefault="00AB09CF" w:rsidP="00AB09CF">
      <w:pPr>
        <w:pStyle w:val="a3"/>
        <w:ind w:left="0" w:firstLine="709"/>
        <w:jc w:val="both"/>
      </w:pPr>
    </w:p>
    <w:p w:rsidR="00AB09CF" w:rsidRDefault="00AB09CF" w:rsidP="00AB09CF">
      <w:pPr>
        <w:pStyle w:val="a3"/>
        <w:numPr>
          <w:ilvl w:val="1"/>
          <w:numId w:val="3"/>
        </w:numPr>
        <w:ind w:left="0" w:firstLine="709"/>
        <w:jc w:val="both"/>
        <w:rPr>
          <w:color w:val="auto"/>
          <w:lang w:eastAsia="zh-CN"/>
        </w:rPr>
      </w:pPr>
      <w:r w:rsidRPr="00F8696F">
        <w:rPr>
          <w:color w:val="auto"/>
          <w:lang w:eastAsia="zh-CN"/>
        </w:rPr>
        <w:t xml:space="preserve">В п. 1.2. ч. 1 ст. 28 </w:t>
      </w:r>
      <w:r w:rsidRPr="00F8696F">
        <w:t>таблицу  «Предельные (минимальные и (или) максимальные) размеры земельных участков и предельные параметры разрешенного  строительства, реконструкции объектов капитального строительства</w:t>
      </w:r>
      <w:proofErr w:type="gramStart"/>
      <w:r w:rsidRPr="00F8696F">
        <w:t>.»</w:t>
      </w:r>
      <w:r>
        <w:t xml:space="preserve"> </w:t>
      </w:r>
      <w:proofErr w:type="gramEnd"/>
      <w:r w:rsidRPr="00F8696F">
        <w:rPr>
          <w:color w:val="auto"/>
          <w:lang w:eastAsia="zh-CN"/>
        </w:rPr>
        <w:t>изложить в следующей редакции:</w:t>
      </w:r>
    </w:p>
    <w:p w:rsidR="00AB09CF" w:rsidRDefault="00AB09CF" w:rsidP="00AB09CF">
      <w:pPr>
        <w:pStyle w:val="a3"/>
        <w:ind w:left="709"/>
        <w:jc w:val="both"/>
        <w:rPr>
          <w:color w:val="auto"/>
          <w:lang w:eastAsia="zh-CN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4679"/>
        <w:gridCol w:w="2437"/>
        <w:gridCol w:w="3091"/>
      </w:tblGrid>
      <w:tr w:rsidR="00AB09CF" w:rsidTr="00AB09CF">
        <w:tc>
          <w:tcPr>
            <w:tcW w:w="4679" w:type="dxa"/>
          </w:tcPr>
          <w:p w:rsidR="00AB09CF" w:rsidRDefault="00AB09CF" w:rsidP="00AB09CF">
            <w:pPr>
              <w:pStyle w:val="a3"/>
              <w:ind w:left="0"/>
              <w:jc w:val="both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28" w:type="dxa"/>
            <w:gridSpan w:val="2"/>
          </w:tcPr>
          <w:p w:rsidR="00AB09CF" w:rsidRPr="006750D9" w:rsidRDefault="00AB09CF" w:rsidP="00AB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п</w:t>
            </w:r>
            <w:r w:rsidRPr="006750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редельный минимальный размер земельных участков для малоэтажных многоквартирных жилых домов - 40 м;</w:t>
            </w:r>
          </w:p>
          <w:p w:rsidR="00AB09CF" w:rsidRPr="006750D9" w:rsidRDefault="00AB09CF" w:rsidP="00AB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 </w:t>
            </w:r>
            <w:r w:rsidRPr="006750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предельный максимальный размер земельных участков для малоэтажных многоквартирных жилых домов - не подлежит установлению;</w:t>
            </w:r>
          </w:p>
          <w:p w:rsidR="00AB09CF" w:rsidRPr="006750D9" w:rsidRDefault="00AB09CF" w:rsidP="00AB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 </w:t>
            </w:r>
            <w:r w:rsidRPr="006750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предельная минимальная площадь земельных участков для малоэтажных многоквартирных жилых домов - 600 кв. м;</w:t>
            </w:r>
          </w:p>
          <w:p w:rsidR="00AB09CF" w:rsidRPr="006750D9" w:rsidRDefault="00AB09CF" w:rsidP="00AB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 </w:t>
            </w:r>
            <w:r w:rsidRPr="006750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предельная максимальная площадь земельных участков для размещения малоэтажных многоквартирных жилых домов не регламентируется и устанавливается в соответствии с действующими техническими регламентами, нормами градостроительного проектирования и проектом планировки территории.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редельный минимальный размер земельных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участков для ведения личного подсобного хозяйства, ширина участков вдоль фронта улицы - 20 м;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максимальный размер земельных участков для ведения личного подсобного хозяйств - не подлежит установлению;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ведения личного подсобного хозяйства - 600 кв. м;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максимальная площадь земельных участков для ведения личного подсобного хозяйства - 1200 кв. м.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минимальный размер земельных участков для блокированной жилой застройки, ширина участков вдоль фронта улицы - 20 м;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максимальный размер земельных участков для блокированной жилой застройки - не подлежит установлению;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блокированной жилой застройки - 300 кв. м;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максимальная площадь земельных участков для блокированной жилой застройки - 1200 кв. м.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редельный минимальный размер земельных участков для объектов гаражного назначения - не подлежит установлению;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максимальный размер земельных участков для объектов гаражного назначения - не подлежит установлению;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минимальная площадь земельных участков для объектов гаражного назначения - 30 кв. м;</w:t>
            </w:r>
          </w:p>
          <w:p w:rsidR="00AB09CF" w:rsidRPr="00BD6D48" w:rsidRDefault="00AB09CF" w:rsidP="00AB09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D6D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максимальная площадь земельных участков для объектов гаражного назначения - 200 кв. м.</w:t>
            </w:r>
          </w:p>
          <w:p w:rsidR="00AB09CF" w:rsidRDefault="00AB09CF" w:rsidP="00AB09CF">
            <w:pPr>
              <w:pStyle w:val="a3"/>
              <w:ind w:left="0"/>
              <w:jc w:val="both"/>
              <w:rPr>
                <w:color w:val="auto"/>
                <w:lang w:eastAsia="zh-CN"/>
              </w:rPr>
            </w:pPr>
            <w:r w:rsidRPr="00BD6D48">
              <w:rPr>
                <w:color w:val="auto"/>
              </w:rPr>
              <w:t xml:space="preserve">- </w:t>
            </w:r>
            <w:r>
              <w:rPr>
                <w:color w:val="auto"/>
              </w:rPr>
              <w:t>п</w:t>
            </w:r>
            <w:r w:rsidRPr="00BD6D48">
              <w:rPr>
                <w:color w:val="auto"/>
              </w:rPr>
              <w:t>редельные минимальные и максимальные размеры земельных участков, в том числе их площадь, для иных видов разреше</w:t>
            </w:r>
            <w:r>
              <w:rPr>
                <w:color w:val="auto"/>
              </w:rPr>
              <w:t>нного использования - не подлежа</w:t>
            </w:r>
            <w:r w:rsidRPr="00BD6D48">
              <w:rPr>
                <w:color w:val="auto"/>
              </w:rPr>
              <w:t>т установлению</w:t>
            </w:r>
            <w:r>
              <w:rPr>
                <w:color w:val="auto"/>
              </w:rPr>
              <w:t>.</w:t>
            </w:r>
          </w:p>
        </w:tc>
      </w:tr>
      <w:tr w:rsidR="00AB09CF" w:rsidTr="00AB09CF">
        <w:tc>
          <w:tcPr>
            <w:tcW w:w="4679" w:type="dxa"/>
          </w:tcPr>
          <w:p w:rsidR="00AB09CF" w:rsidRPr="006750D9" w:rsidRDefault="00AB09CF" w:rsidP="006F30F5">
            <w:pPr>
              <w:jc w:val="both"/>
              <w:rPr>
                <w:rFonts w:cs="Times New Roman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AB09CF" w:rsidRDefault="00AB09CF" w:rsidP="00AB09CF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CF" w:rsidRDefault="00AB09CF" w:rsidP="00AB09CF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AB09CF" w:rsidRDefault="00AB09CF" w:rsidP="00AB09CF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 основного </w:t>
            </w:r>
          </w:p>
          <w:p w:rsidR="00AB09CF" w:rsidRDefault="00AB09CF" w:rsidP="00AB09CF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условно разрешенного видов использования </w:t>
            </w:r>
          </w:p>
        </w:tc>
      </w:tr>
      <w:tr w:rsidR="00AB09CF" w:rsidTr="00AB09CF">
        <w:tc>
          <w:tcPr>
            <w:tcW w:w="4679" w:type="dxa"/>
          </w:tcPr>
          <w:p w:rsidR="00AB09CF" w:rsidRPr="006750D9" w:rsidRDefault="00AB09CF" w:rsidP="006F30F5">
            <w:pPr>
              <w:jc w:val="both"/>
              <w:rPr>
                <w:rFonts w:cs="Times New Roman"/>
                <w:szCs w:val="24"/>
              </w:rPr>
            </w:pPr>
            <w:r w:rsidRPr="006750D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AB09CF" w:rsidRDefault="00AB09CF" w:rsidP="00AB09CF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AB09CF" w:rsidRDefault="00AB09CF" w:rsidP="00AB09CF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 основного </w:t>
            </w:r>
          </w:p>
          <w:p w:rsidR="00AB09CF" w:rsidRDefault="00AB09CF" w:rsidP="00AB09CF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условно разрешенного видов использования</w:t>
            </w:r>
          </w:p>
        </w:tc>
      </w:tr>
      <w:tr w:rsidR="00AB09CF" w:rsidTr="00AB09CF">
        <w:trPr>
          <w:trHeight w:val="249"/>
        </w:trPr>
        <w:tc>
          <w:tcPr>
            <w:tcW w:w="4679" w:type="dxa"/>
            <w:vMerge w:val="restart"/>
          </w:tcPr>
          <w:p w:rsidR="00AB09CF" w:rsidRDefault="00AB09CF" w:rsidP="006F30F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9CF" w:rsidRDefault="00AB09CF" w:rsidP="00AB09CF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</w:tcPr>
          <w:p w:rsidR="00AB09CF" w:rsidRDefault="00AB09CF" w:rsidP="00AB09CF">
            <w:pPr>
              <w:pStyle w:val="ConsPlusNormal"/>
              <w:widowControl/>
              <w:tabs>
                <w:tab w:val="left" w:pos="-142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домов</w:t>
            </w:r>
          </w:p>
        </w:tc>
      </w:tr>
      <w:tr w:rsidR="00AB09CF" w:rsidTr="00AB09CF">
        <w:trPr>
          <w:trHeight w:val="305"/>
        </w:trPr>
        <w:tc>
          <w:tcPr>
            <w:tcW w:w="4679" w:type="dxa"/>
            <w:vMerge/>
          </w:tcPr>
          <w:p w:rsidR="00AB09CF" w:rsidRDefault="00AB09CF" w:rsidP="00AB09CF">
            <w:pPr>
              <w:pStyle w:val="a3"/>
              <w:ind w:left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9CF" w:rsidRDefault="00AB09CF" w:rsidP="00AB09CF">
            <w:pPr>
              <w:pStyle w:val="a3"/>
              <w:ind w:left="0"/>
              <w:jc w:val="center"/>
              <w:rPr>
                <w:color w:val="auto"/>
                <w:lang w:eastAsia="zh-CN"/>
              </w:rPr>
            </w:pPr>
            <w:r>
              <w:t>60%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AB09CF" w:rsidRDefault="00AB09CF" w:rsidP="00AB09CF">
            <w:pPr>
              <w:pStyle w:val="a3"/>
              <w:ind w:left="0"/>
              <w:jc w:val="both"/>
              <w:rPr>
                <w:color w:val="auto"/>
                <w:lang w:eastAsia="zh-CN"/>
              </w:rPr>
            </w:pPr>
            <w:r>
              <w:t xml:space="preserve">для объектов обслуживания </w:t>
            </w:r>
          </w:p>
        </w:tc>
      </w:tr>
      <w:tr w:rsidR="00AB09CF" w:rsidTr="00AB09CF">
        <w:tc>
          <w:tcPr>
            <w:tcW w:w="10207" w:type="dxa"/>
            <w:gridSpan w:val="3"/>
          </w:tcPr>
          <w:p w:rsidR="00AB09CF" w:rsidRPr="00F8696F" w:rsidRDefault="00AB09CF" w:rsidP="00AB09CF">
            <w:pPr>
              <w:pStyle w:val="Default"/>
              <w:jc w:val="both"/>
            </w:pPr>
            <w:r w:rsidRPr="00F8696F">
              <w:t xml:space="preserve">Расстояния по горизонтали (в свету) от зданий, строений и сооружений до ближайших </w:t>
            </w:r>
            <w:r w:rsidRPr="00F8696F">
              <w:lastRenderedPageBreak/>
              <w:t>подземных инженерных сетей следует принимать по СП 42.13330.2011</w:t>
            </w:r>
            <w:r>
              <w:t>.</w:t>
            </w:r>
          </w:p>
          <w:p w:rsidR="00AB09CF" w:rsidRDefault="00AB09CF" w:rsidP="00AB09CF">
            <w:pPr>
              <w:pStyle w:val="a3"/>
              <w:ind w:left="0"/>
              <w:jc w:val="both"/>
              <w:rPr>
                <w:color w:val="auto"/>
                <w:lang w:eastAsia="zh-CN"/>
              </w:rPr>
            </w:pPr>
            <w:r w:rsidRPr="00F8696F">
              <w:rPr>
                <w:lang w:eastAsia="en-US"/>
              </w:rPr>
              <w:t xml:space="preserve"> Противопожарное минимальное расстояние между жилыми домами следует принимать в зависимости от материалов, из которых построены дома, в соответствии с требованиями Федерального закона от 22 июля 2008 г. № 123-ФЗ «Технический регламент о требованиях пожарной безопасности»</w:t>
            </w:r>
            <w:r>
              <w:rPr>
                <w:lang w:eastAsia="en-US"/>
              </w:rPr>
              <w:t>.</w:t>
            </w:r>
          </w:p>
        </w:tc>
      </w:tr>
    </w:tbl>
    <w:p w:rsidR="00AB09CF" w:rsidRPr="00F8696F" w:rsidRDefault="00AB09CF" w:rsidP="00AB09CF">
      <w:pPr>
        <w:pStyle w:val="a3"/>
        <w:ind w:left="709"/>
        <w:jc w:val="both"/>
        <w:rPr>
          <w:color w:val="auto"/>
          <w:lang w:eastAsia="zh-CN"/>
        </w:rPr>
      </w:pPr>
    </w:p>
    <w:p w:rsidR="00AB09CF" w:rsidRPr="006750D9" w:rsidRDefault="00AB09CF" w:rsidP="00AB09CF">
      <w:pPr>
        <w:pStyle w:val="a3"/>
        <w:keepNext/>
        <w:keepLines/>
        <w:numPr>
          <w:ilvl w:val="0"/>
          <w:numId w:val="3"/>
        </w:numPr>
        <w:suppressAutoHyphens/>
        <w:autoSpaceDE w:val="0"/>
        <w:ind w:left="0" w:firstLine="709"/>
        <w:jc w:val="both"/>
        <w:rPr>
          <w:color w:val="auto"/>
          <w:lang w:eastAsia="zh-CN"/>
        </w:rPr>
      </w:pPr>
      <w:r w:rsidRPr="006750D9">
        <w:rPr>
          <w:rFonts w:eastAsia="Calibri"/>
          <w:bCs/>
        </w:rPr>
        <w:t>Настоящее решение вступает в силу со дня принятия и подлежит официальному опубликованию в Информационном бюллетене Александро-Невского городского поселения и на официальном сайте администрации Александро-Невского муниципального района и Александро-Невского городского поселения.</w:t>
      </w:r>
    </w:p>
    <w:p w:rsidR="00AB09CF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Председатель Совета депутатов</w:t>
      </w:r>
    </w:p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городского поселения                                                 В.А. Ушакова</w:t>
      </w:r>
    </w:p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Глава Александро-Невского </w:t>
      </w:r>
    </w:p>
    <w:p w:rsidR="00AB09CF" w:rsidRPr="006D6087" w:rsidRDefault="00AB09CF" w:rsidP="00AB09CF">
      <w:pPr>
        <w:keepNext/>
        <w:keepLines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 поселения                                                                                        Е.В. Блохина</w:t>
      </w:r>
    </w:p>
    <w:p w:rsidR="00AB09CF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24.07.2017</w:t>
      </w: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172</w:t>
      </w: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B09CF" w:rsidRPr="00B6229E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граждан в обсуждении проекта решения Совета депутатов Александро-Невского городского </w:t>
      </w:r>
      <w:r w:rsidRPr="001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1359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</w:p>
    <w:p w:rsidR="00AB09CF" w:rsidRPr="00160955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B09CF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Pr="00160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</w:t>
      </w: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AB09CF" w:rsidRPr="00160955" w:rsidRDefault="00AB09CF" w:rsidP="00AB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24.07.2017</w:t>
      </w: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172</w:t>
      </w:r>
    </w:p>
    <w:p w:rsidR="00AB09CF" w:rsidRPr="00160955" w:rsidRDefault="00AB09CF" w:rsidP="00AB09CF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AB09CF" w:rsidRPr="00160955" w:rsidRDefault="00AB09CF" w:rsidP="00AB09CF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AB09CF" w:rsidRPr="00160955" w:rsidRDefault="00AB09CF" w:rsidP="00AB09CF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AB09CF" w:rsidRDefault="00AB09CF" w:rsidP="00AB09C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AB09CF" w:rsidRPr="00B6229E" w:rsidRDefault="00AB09CF" w:rsidP="00A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Порядок </w:t>
      </w:r>
      <w:r w:rsidRPr="00160955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br/>
        <w:t xml:space="preserve">учета предложений  по проекту решения </w:t>
      </w: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Александро-Невского городского </w:t>
      </w:r>
      <w:r w:rsidRPr="001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1359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</w:p>
    <w:p w:rsidR="00AB09CF" w:rsidRPr="00160955" w:rsidRDefault="00AB09CF" w:rsidP="00AB0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9CF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F" w:rsidRPr="00160955" w:rsidRDefault="00AB09CF" w:rsidP="00AB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AB09CF" w:rsidRPr="0013593C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субъектов обсуждения по внесению изменений и дополнений в проект решения Совета депутатов Александро-Невского городского поселения </w:t>
      </w:r>
      <w:r w:rsidRPr="0013593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– включаются в итоговый документ публичных слушаний с указанием:</w:t>
      </w:r>
    </w:p>
    <w:p w:rsidR="00AB09CF" w:rsidRPr="00160955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AB09CF" w:rsidRPr="00160955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AB09CF" w:rsidRPr="00160955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AB09CF" w:rsidRPr="00160955" w:rsidRDefault="00AB09CF" w:rsidP="00AB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AB09CF" w:rsidRPr="00160955" w:rsidRDefault="00AB09CF" w:rsidP="00AB09CF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B09CF" w:rsidRPr="00160955" w:rsidRDefault="00AB09CF" w:rsidP="00AB09CF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B09CF" w:rsidRPr="002E25BE" w:rsidRDefault="00AB09CF" w:rsidP="00AB09CF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78C8" w:rsidRDefault="003111CB"/>
    <w:sectPr w:rsidR="008378C8" w:rsidSect="00AB09CF">
      <w:pgSz w:w="11906" w:h="16838"/>
      <w:pgMar w:top="1134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774199"/>
    <w:multiLevelType w:val="multilevel"/>
    <w:tmpl w:val="B66E439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A"/>
      </w:rPr>
    </w:lvl>
  </w:abstractNum>
  <w:abstractNum w:abstractNumId="2">
    <w:nsid w:val="25E455EF"/>
    <w:multiLevelType w:val="multilevel"/>
    <w:tmpl w:val="17E2A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60398C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09CF"/>
    <w:rsid w:val="001D33F2"/>
    <w:rsid w:val="003111CB"/>
    <w:rsid w:val="00AB09CF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C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0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B09CF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Default">
    <w:name w:val="Default"/>
    <w:uiPriority w:val="99"/>
    <w:qFormat/>
    <w:rsid w:val="00AB09C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AB09C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AB09CF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6e5edf2f0e8f0eee2e0ededfbe9f2e0e1ebe8f6e0">
    <w:name w:val="Цd6еe5нedтf2рf0иe8рf0оeeвe2аe0нedнedыfbйe9 (тf2аe0бe1лebиe8цf6аe0)"/>
    <w:uiPriority w:val="99"/>
    <w:rsid w:val="00AB09CF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AB09CF"/>
    <w:pPr>
      <w:widowControl w:val="0"/>
      <w:suppressAutoHyphens/>
      <w:autoSpaceDE w:val="0"/>
      <w:autoSpaceDN w:val="0"/>
      <w:adjustRightInd w:val="0"/>
      <w:jc w:val="both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C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58E6-D223-4147-A431-F3DAEBA3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2734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cp:lastPrinted>2017-07-24T11:18:00Z</cp:lastPrinted>
  <dcterms:created xsi:type="dcterms:W3CDTF">2017-07-24T11:12:00Z</dcterms:created>
  <dcterms:modified xsi:type="dcterms:W3CDTF">2017-07-24T11:25:00Z</dcterms:modified>
</cp:coreProperties>
</file>