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CF2860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от  </w:t>
      </w:r>
      <w:r w:rsidR="00A976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01 марта</w:t>
      </w:r>
      <w:r w:rsidR="00CF2860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250D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C52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 </w:t>
      </w:r>
      <w:r w:rsidR="00A97607" w:rsidRPr="00A976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35-3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4B7E08">
        <w:rPr>
          <w:rFonts w:ascii="Times New Roman" w:eastAsia="Calibri" w:hAnsi="Times New Roman" w:cs="Times New Roman"/>
          <w:sz w:val="24"/>
          <w:szCs w:val="24"/>
        </w:rPr>
        <w:t>годы и на период до 2024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>от 20.10.2017</w:t>
      </w:r>
      <w:proofErr w:type="gramEnd"/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>
        <w:rPr>
          <w:rFonts w:ascii="Times New Roman" w:eastAsia="Times New Roman" w:hAnsi="Times New Roman" w:cs="Times New Roman"/>
          <w:lang w:eastAsia="ru-RU"/>
        </w:rPr>
        <w:t>,от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>
        <w:rPr>
          <w:rFonts w:ascii="Times New Roman" w:eastAsia="Times New Roman" w:hAnsi="Times New Roman" w:cs="Times New Roman"/>
          <w:lang w:eastAsia="ru-RU"/>
        </w:rPr>
        <w:t>,от 18.02.2022г. №29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4B7E08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2024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gramStart"/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288, от 30.07.2018 г. №120/1, от 26.10.2018 г. №150, от 29.12.2018 г. №193, от 12.02.2019г. № 15, от 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 w:rsidRPr="00CF2860">
        <w:t xml:space="preserve"> </w:t>
      </w:r>
      <w:r w:rsidR="00CF2860" w:rsidRPr="00CF2860">
        <w:rPr>
          <w:rFonts w:ascii="Times New Roman" w:eastAsia="Times New Roman" w:hAnsi="Times New Roman" w:cs="Times New Roman"/>
          <w:lang w:eastAsia="ru-RU"/>
        </w:rPr>
        <w:t>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 w:rsidRPr="00A976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607">
        <w:rPr>
          <w:rFonts w:ascii="Times New Roman" w:eastAsia="Times New Roman" w:hAnsi="Times New Roman" w:cs="Times New Roman"/>
          <w:lang w:eastAsia="ru-RU"/>
        </w:rPr>
        <w:t>от 18.02.2022г. №29</w:t>
      </w:r>
      <w:r w:rsidR="00A97607">
        <w:rPr>
          <w:rFonts w:ascii="Times New Roman" w:eastAsia="Times New Roman" w:hAnsi="Times New Roman" w:cs="Times New Roman"/>
          <w:lang w:eastAsia="ru-RU"/>
        </w:rPr>
        <w:t>,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  <w:proofErr w:type="gramEnd"/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>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C52FBC">
              <w:rPr>
                <w:rFonts w:ascii="Times New Roman" w:eastAsia="Times New Roman" w:hAnsi="Times New Roman" w:cs="Times New Roman"/>
                <w:color w:val="auto"/>
              </w:rPr>
              <w:t>1 год-    10 329,69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A97607">
              <w:rPr>
                <w:rFonts w:ascii="Times New Roman" w:eastAsia="Times New Roman" w:hAnsi="Times New Roman" w:cs="Times New Roman"/>
                <w:color w:val="auto"/>
              </w:rPr>
              <w:t>3 510,61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 xml:space="preserve">3  </w:t>
            </w:r>
            <w:r w:rsidR="00046B0A">
              <w:rPr>
                <w:rFonts w:ascii="Times New Roman" w:eastAsia="Times New Roman" w:hAnsi="Times New Roman" w:cs="Times New Roman"/>
                <w:color w:val="auto"/>
              </w:rPr>
              <w:t>651,46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D6774A" w:rsidRPr="00BC6BF3" w:rsidRDefault="00D6774A" w:rsidP="00D6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6B0A">
              <w:rPr>
                <w:rFonts w:ascii="Times New Roman" w:eastAsia="Times New Roman" w:hAnsi="Times New Roman" w:cs="Times New Roman"/>
                <w:color w:val="auto"/>
              </w:rPr>
              <w:t>3 651,46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C52FBC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E18A5">
        <w:rPr>
          <w:rFonts w:ascii="Times New Roman" w:eastAsia="Times New Roman" w:hAnsi="Times New Roman" w:cs="Times New Roman"/>
          <w:lang w:eastAsia="ru-RU"/>
        </w:rPr>
        <w:t>А.Н.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8A5">
        <w:rPr>
          <w:rFonts w:ascii="Times New Roman" w:eastAsia="Times New Roman" w:hAnsi="Times New Roman" w:cs="Times New Roman"/>
          <w:lang w:eastAsia="ru-RU"/>
        </w:rPr>
        <w:t>Николаева</w:t>
      </w:r>
    </w:p>
    <w:p w:rsidR="0062462E" w:rsidRDefault="0062462E" w:rsidP="0062462E"/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62462E" w:rsidRPr="00D6774A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A9760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01.03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A9760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35-3</w:t>
      </w:r>
    </w:p>
    <w:p w:rsidR="0062462E" w:rsidRPr="00D6774A" w:rsidRDefault="0062462E" w:rsidP="00624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62E" w:rsidRPr="00926CB0" w:rsidRDefault="0062462E" w:rsidP="0062462E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62462E" w:rsidRPr="00926CB0" w:rsidRDefault="0062462E" w:rsidP="0062462E">
      <w:pPr>
        <w:spacing w:line="240" w:lineRule="auto"/>
        <w:rPr>
          <w:rFonts w:ascii="Times New Roman" w:hAnsi="Times New Roman" w:cs="Times New Roman"/>
        </w:rPr>
      </w:pPr>
    </w:p>
    <w:p w:rsidR="0062462E" w:rsidRPr="00926CB0" w:rsidRDefault="0062462E" w:rsidP="006246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134"/>
        <w:gridCol w:w="992"/>
        <w:gridCol w:w="851"/>
        <w:gridCol w:w="850"/>
        <w:gridCol w:w="1276"/>
        <w:gridCol w:w="992"/>
        <w:gridCol w:w="851"/>
        <w:gridCol w:w="992"/>
        <w:gridCol w:w="1134"/>
        <w:gridCol w:w="851"/>
        <w:gridCol w:w="992"/>
        <w:gridCol w:w="2551"/>
      </w:tblGrid>
      <w:tr w:rsidR="00D6774A" w:rsidRPr="00926CB0" w:rsidTr="00D6774A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7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 w:rsidR="00A97607">
              <w:rPr>
                <w:rFonts w:ascii="Times New Roman" w:hAnsi="Times New Roman" w:cs="Times New Roman"/>
                <w:color w:val="auto"/>
              </w:rPr>
              <w:t> 273,97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A97607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D677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2203,58</w:t>
            </w:r>
          </w:p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509,69</w:t>
            </w:r>
          </w:p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926CB0">
              <w:rPr>
                <w:rFonts w:ascii="Times New Roman" w:hAnsi="Times New Roman" w:cs="Times New Roman"/>
              </w:rPr>
              <w:t>.</w:t>
            </w:r>
            <w:r w:rsidR="0090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4871,77</w:t>
            </w:r>
          </w:p>
          <w:p w:rsid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77F49" w:rsidRDefault="00877F49" w:rsidP="00877F49">
            <w:pPr>
              <w:rPr>
                <w:rFonts w:ascii="Times New Roman" w:hAnsi="Times New Roman" w:cs="Times New Roman"/>
              </w:rPr>
            </w:pPr>
          </w:p>
          <w:p w:rsidR="00D6774A" w:rsidRPr="00877F49" w:rsidRDefault="00877F49" w:rsidP="0087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D6774A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1917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4919,37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258,91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5178,28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235C6F" w:rsidRDefault="00D6774A" w:rsidP="00FC1C4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35C6F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35C6F">
              <w:rPr>
                <w:rFonts w:ascii="Times New Roman" w:hAnsi="Times New Roman" w:cs="Times New Roman"/>
              </w:rPr>
              <w:t>,р</w:t>
            </w:r>
            <w:proofErr w:type="spellEnd"/>
            <w:proofErr w:type="gramEnd"/>
            <w:r w:rsidRPr="00235C6F">
              <w:rPr>
                <w:rFonts w:ascii="Times New Roman" w:hAnsi="Times New Roman" w:cs="Times New Roman"/>
              </w:rPr>
              <w:t>. п. Александро-Невский,</w:t>
            </w:r>
          </w:p>
          <w:p w:rsidR="00D6774A" w:rsidRPr="00926CB0" w:rsidRDefault="00D6774A" w:rsidP="00FC1C4A">
            <w:pPr>
              <w:pStyle w:val="a5"/>
            </w:pPr>
            <w:proofErr w:type="spellStart"/>
            <w:r w:rsidRPr="00235C6F">
              <w:rPr>
                <w:rFonts w:ascii="Times New Roman" w:hAnsi="Times New Roman" w:cs="Times New Roman"/>
              </w:rPr>
              <w:t>ул</w:t>
            </w:r>
            <w:proofErr w:type="gramStart"/>
            <w:r w:rsidRPr="00235C6F">
              <w:rPr>
                <w:rFonts w:ascii="Times New Roman" w:hAnsi="Times New Roman" w:cs="Times New Roman"/>
              </w:rPr>
              <w:t>.В</w:t>
            </w:r>
            <w:proofErr w:type="gramEnd"/>
            <w:r w:rsidRPr="00235C6F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776AA6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051A2">
              <w:rPr>
                <w:rFonts w:ascii="Times New Roman" w:hAnsi="Times New Roman" w:cs="Times New Roman"/>
                <w:color w:val="auto"/>
              </w:rPr>
              <w:t>20</w:t>
            </w:r>
            <w:r w:rsidR="00D6774A" w:rsidRPr="00492E7F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9051A2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877F49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повышение благоустроенности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 w:rsidRPr="00877F49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Pr="00492E7F" w:rsidRDefault="00877F49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A97607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17403,61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5923,58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A97607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694,87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877F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pStyle w:val="a5"/>
        <w:rPr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2</w:t>
      </w:r>
    </w:p>
    <w:p w:rsidR="0062462E" w:rsidRPr="00926CB0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297D1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01.03</w:t>
      </w:r>
      <w:r w:rsidR="00877F4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297D1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35-3</w:t>
      </w:r>
    </w:p>
    <w:p w:rsidR="0062462E" w:rsidRDefault="0062462E" w:rsidP="00314EC4">
      <w:pPr>
        <w:pStyle w:val="1"/>
        <w:jc w:val="right"/>
        <w:rPr>
          <w:sz w:val="22"/>
          <w:szCs w:val="22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1984"/>
      </w:tblGrid>
      <w:tr w:rsidR="00F05704" w:rsidTr="004B7E08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F49" w:rsidTr="00E363B0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F05704" w:rsidTr="004B7E08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10243,54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877F4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4F3A31">
            <w:pPr>
              <w:rPr>
                <w:rFonts w:ascii="Times New Roman" w:hAnsi="Times New Roman" w:cs="Times New Roman"/>
              </w:rPr>
            </w:pPr>
          </w:p>
          <w:p w:rsidR="004F3A31" w:rsidRPr="004F3A31" w:rsidRDefault="004F3A31" w:rsidP="004F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667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8898,3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F05704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несанкционированных </w:t>
            </w:r>
            <w:r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9D2AA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97D14">
              <w:rPr>
                <w:rFonts w:ascii="Times New Roman" w:hAnsi="Times New Roman" w:cs="Times New Roman"/>
                <w:color w:val="auto"/>
              </w:rPr>
              <w:t>35,87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297D1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05704" w:rsidTr="004B7E08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3747AF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3747AF">
              <w:rPr>
                <w:rFonts w:ascii="Times New Roman" w:hAnsi="Times New Roman" w:cs="Times New Roman"/>
                <w:color w:val="auto"/>
              </w:rPr>
              <w:t>19443,34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3747AF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297D14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2475,73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926C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tabs>
          <w:tab w:val="left" w:pos="12701"/>
        </w:tabs>
        <w:suppressAutoHyphens/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rPr>
          <w:lang w:eastAsia="ru-RU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 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8177E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01.03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8177E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35-3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7E08" w:rsidRDefault="004B7E08" w:rsidP="004B7E08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709"/>
        <w:gridCol w:w="141"/>
        <w:gridCol w:w="851"/>
        <w:gridCol w:w="1559"/>
        <w:gridCol w:w="1701"/>
      </w:tblGrid>
      <w:tr w:rsidR="00494BC0" w:rsidTr="00494BC0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C0" w:rsidTr="00494BC0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C0" w:rsidTr="000D58BC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</w:tr>
      <w:tr w:rsidR="00494BC0" w:rsidTr="00494BC0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8177EF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81856">
              <w:rPr>
                <w:rFonts w:ascii="Times New Roman" w:hAnsi="Times New Roman" w:cs="Times New Roman"/>
                <w:color w:val="auto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8177EF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8177EF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235C6F" w:rsidRDefault="00235C6F" w:rsidP="00235C6F">
      <w:pPr>
        <w:pStyle w:val="a5"/>
        <w:rPr>
          <w:lang w:eastAsia="zh-CN"/>
        </w:rPr>
      </w:pPr>
    </w:p>
    <w:p w:rsidR="00235C6F" w:rsidRDefault="00235C6F" w:rsidP="00235C6F">
      <w:pPr>
        <w:pStyle w:val="a5"/>
        <w:rPr>
          <w:lang w:eastAsia="zh-CN"/>
        </w:rPr>
      </w:pPr>
    </w:p>
    <w:p w:rsidR="00E330D1" w:rsidRDefault="00235C6F" w:rsidP="00235C6F">
      <w:pPr>
        <w:pStyle w:val="a5"/>
        <w:rPr>
          <w:b/>
          <w:lang w:eastAsia="zh-CN"/>
        </w:rPr>
      </w:pPr>
      <w:r w:rsidRPr="0062462E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0D1" w:rsidRDefault="00E330D1" w:rsidP="00235C6F">
      <w:pPr>
        <w:pStyle w:val="a5"/>
        <w:rPr>
          <w:b/>
          <w:lang w:eastAsia="zh-CN"/>
        </w:rPr>
      </w:pPr>
    </w:p>
    <w:p w:rsidR="00926CB0" w:rsidRPr="0062462E" w:rsidRDefault="00235C6F" w:rsidP="00E330D1">
      <w:pPr>
        <w:pStyle w:val="a5"/>
        <w:jc w:val="right"/>
        <w:rPr>
          <w:b/>
          <w:lang w:eastAsia="zh-CN"/>
        </w:rPr>
      </w:pPr>
      <w:r w:rsidRPr="0062462E">
        <w:rPr>
          <w:b/>
          <w:lang w:eastAsia="zh-CN"/>
        </w:rPr>
        <w:lastRenderedPageBreak/>
        <w:t xml:space="preserve">                 </w:t>
      </w:r>
      <w:r w:rsidR="00926CB0" w:rsidRPr="0062462E">
        <w:rPr>
          <w:b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18263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01.03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18263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35-3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854"/>
        <w:gridCol w:w="992"/>
        <w:gridCol w:w="992"/>
        <w:gridCol w:w="993"/>
        <w:gridCol w:w="1558"/>
        <w:gridCol w:w="1418"/>
      </w:tblGrid>
      <w:tr w:rsidR="00E330D1" w:rsidRPr="00926CB0" w:rsidTr="00E330D1">
        <w:trPr>
          <w:trHeight w:val="772"/>
        </w:trPr>
        <w:tc>
          <w:tcPr>
            <w:tcW w:w="53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1" w:type="dxa"/>
            <w:gridSpan w:val="8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600"/>
        </w:trPr>
        <w:tc>
          <w:tcPr>
            <w:tcW w:w="53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56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E330D1" w:rsidRPr="00926CB0" w:rsidTr="004F3A31">
        <w:trPr>
          <w:trHeight w:val="38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4F3A3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3740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01.03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3740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35-3</w:t>
      </w:r>
      <w:bookmarkStart w:id="0" w:name="_GoBack"/>
      <w:bookmarkEnd w:id="0"/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992"/>
        <w:gridCol w:w="850"/>
        <w:gridCol w:w="851"/>
        <w:gridCol w:w="850"/>
        <w:gridCol w:w="1418"/>
        <w:gridCol w:w="1843"/>
      </w:tblGrid>
      <w:tr w:rsidR="00E330D1" w:rsidRPr="00926CB0" w:rsidTr="00A72E2A">
        <w:trPr>
          <w:trHeight w:val="633"/>
        </w:trPr>
        <w:tc>
          <w:tcPr>
            <w:tcW w:w="709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8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c>
          <w:tcPr>
            <w:tcW w:w="709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73CFD"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3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</w:tr>
      <w:tr w:rsidR="00E330D1" w:rsidRPr="00926CB0" w:rsidTr="00E330D1">
        <w:trPr>
          <w:trHeight w:val="838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E330D1" w:rsidRPr="00926CB0" w:rsidRDefault="00E330D1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</w:tr>
      <w:tr w:rsidR="00E330D1" w:rsidRPr="00926CB0" w:rsidTr="00E330D1">
        <w:trPr>
          <w:trHeight w:val="380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46B0A"/>
    <w:rsid w:val="00067AFE"/>
    <w:rsid w:val="000A615E"/>
    <w:rsid w:val="001126B5"/>
    <w:rsid w:val="001435B0"/>
    <w:rsid w:val="00143F23"/>
    <w:rsid w:val="00180667"/>
    <w:rsid w:val="00180B4D"/>
    <w:rsid w:val="0018263D"/>
    <w:rsid w:val="0019172A"/>
    <w:rsid w:val="00192273"/>
    <w:rsid w:val="00197AE1"/>
    <w:rsid w:val="001A73DA"/>
    <w:rsid w:val="001E18A5"/>
    <w:rsid w:val="00235C6F"/>
    <w:rsid w:val="00297D14"/>
    <w:rsid w:val="002A29A9"/>
    <w:rsid w:val="002F6CF6"/>
    <w:rsid w:val="00311CE9"/>
    <w:rsid w:val="00314EC4"/>
    <w:rsid w:val="00353374"/>
    <w:rsid w:val="00354C8C"/>
    <w:rsid w:val="00374089"/>
    <w:rsid w:val="003747AF"/>
    <w:rsid w:val="00384AB4"/>
    <w:rsid w:val="003A05CC"/>
    <w:rsid w:val="003A2DE5"/>
    <w:rsid w:val="00420149"/>
    <w:rsid w:val="00431407"/>
    <w:rsid w:val="00481856"/>
    <w:rsid w:val="00483388"/>
    <w:rsid w:val="00492E7F"/>
    <w:rsid w:val="00494BC0"/>
    <w:rsid w:val="004B7E08"/>
    <w:rsid w:val="004D0D3A"/>
    <w:rsid w:val="004D1F6D"/>
    <w:rsid w:val="004F1B7A"/>
    <w:rsid w:val="004F3A31"/>
    <w:rsid w:val="005125DA"/>
    <w:rsid w:val="00545B6B"/>
    <w:rsid w:val="005664BF"/>
    <w:rsid w:val="00585655"/>
    <w:rsid w:val="00585CA6"/>
    <w:rsid w:val="005914F0"/>
    <w:rsid w:val="005A6FEE"/>
    <w:rsid w:val="005D7D43"/>
    <w:rsid w:val="00621F9A"/>
    <w:rsid w:val="0062462E"/>
    <w:rsid w:val="00657DAB"/>
    <w:rsid w:val="0068473E"/>
    <w:rsid w:val="006B19CB"/>
    <w:rsid w:val="006D3411"/>
    <w:rsid w:val="006D34BF"/>
    <w:rsid w:val="00744E74"/>
    <w:rsid w:val="00746F21"/>
    <w:rsid w:val="007679E3"/>
    <w:rsid w:val="00776AA6"/>
    <w:rsid w:val="00776DD7"/>
    <w:rsid w:val="007B1D90"/>
    <w:rsid w:val="007D76DC"/>
    <w:rsid w:val="008177EF"/>
    <w:rsid w:val="00831147"/>
    <w:rsid w:val="00870FDF"/>
    <w:rsid w:val="00876E26"/>
    <w:rsid w:val="00877F49"/>
    <w:rsid w:val="008A57EB"/>
    <w:rsid w:val="00900C7C"/>
    <w:rsid w:val="009051A2"/>
    <w:rsid w:val="00926CB0"/>
    <w:rsid w:val="00945D45"/>
    <w:rsid w:val="00956221"/>
    <w:rsid w:val="009579E8"/>
    <w:rsid w:val="009908D1"/>
    <w:rsid w:val="00993D9D"/>
    <w:rsid w:val="00995687"/>
    <w:rsid w:val="009979F0"/>
    <w:rsid w:val="009B37A9"/>
    <w:rsid w:val="009D2AA1"/>
    <w:rsid w:val="00A04913"/>
    <w:rsid w:val="00A20B06"/>
    <w:rsid w:val="00A2341A"/>
    <w:rsid w:val="00A35E38"/>
    <w:rsid w:val="00A97607"/>
    <w:rsid w:val="00AE43B7"/>
    <w:rsid w:val="00B34206"/>
    <w:rsid w:val="00B4431F"/>
    <w:rsid w:val="00B46A0C"/>
    <w:rsid w:val="00B91F8B"/>
    <w:rsid w:val="00BA3096"/>
    <w:rsid w:val="00BC6BF3"/>
    <w:rsid w:val="00BD104F"/>
    <w:rsid w:val="00C36818"/>
    <w:rsid w:val="00C52FBC"/>
    <w:rsid w:val="00C60AFF"/>
    <w:rsid w:val="00C80183"/>
    <w:rsid w:val="00C84036"/>
    <w:rsid w:val="00C902CA"/>
    <w:rsid w:val="00CB2C86"/>
    <w:rsid w:val="00CB4E53"/>
    <w:rsid w:val="00CD1605"/>
    <w:rsid w:val="00CE584D"/>
    <w:rsid w:val="00CF2860"/>
    <w:rsid w:val="00D17A60"/>
    <w:rsid w:val="00D47CF7"/>
    <w:rsid w:val="00D6774A"/>
    <w:rsid w:val="00DB45FD"/>
    <w:rsid w:val="00DD5878"/>
    <w:rsid w:val="00E330D1"/>
    <w:rsid w:val="00EE1428"/>
    <w:rsid w:val="00F05704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6F3A-D935-4178-961C-9C9A8BCD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40</cp:revision>
  <cp:lastPrinted>2021-10-04T10:50:00Z</cp:lastPrinted>
  <dcterms:created xsi:type="dcterms:W3CDTF">2021-09-24T08:46:00Z</dcterms:created>
  <dcterms:modified xsi:type="dcterms:W3CDTF">2022-05-05T11:22:00Z</dcterms:modified>
</cp:coreProperties>
</file>